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="仿宋_GB2312" w:eastAsia="仿宋_GB2312"/>
          <w:b/>
          <w:bCs/>
          <w:color w:val="000000"/>
          <w:sz w:val="48"/>
          <w:szCs w:val="48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sz w:val="48"/>
          <w:szCs w:val="48"/>
          <w:highlight w:val="none"/>
        </w:rPr>
        <w:t>山东济钢型材有限公司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8"/>
          <w:szCs w:val="48"/>
          <w:highlight w:val="none"/>
          <w:lang w:eastAsia="zh-CN"/>
        </w:rPr>
        <w:t>2025年铣切锯片总包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8"/>
          <w:szCs w:val="48"/>
          <w:highlight w:val="none"/>
        </w:rPr>
        <w:t>采购</w:t>
      </w:r>
      <w:r>
        <w:rPr>
          <w:rFonts w:hint="eastAsia" w:ascii="仿宋_GB2312" w:eastAsia="仿宋_GB2312"/>
          <w:b/>
          <w:bCs/>
          <w:color w:val="000000"/>
          <w:sz w:val="48"/>
          <w:szCs w:val="48"/>
          <w:highlight w:val="none"/>
        </w:rPr>
        <w:t>招标公告</w:t>
      </w:r>
    </w:p>
    <w:bookmarkEnd w:id="0"/>
    <w:p>
      <w:pPr>
        <w:spacing w:line="400" w:lineRule="auto"/>
        <w:ind w:firstLine="643" w:firstLineChars="200"/>
        <w:jc w:val="left"/>
        <w:rPr>
          <w:rFonts w:eastAsia="仿宋_GB2312"/>
          <w:color w:val="000000"/>
          <w:sz w:val="30"/>
          <w:highlight w:val="non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  <w:t>一、招标编号：</w:t>
      </w:r>
      <w:r>
        <w:rPr>
          <w:rFonts w:eastAsia="仿宋_GB2312"/>
          <w:color w:val="000000"/>
          <w:sz w:val="30"/>
        </w:rPr>
        <w:t>1201251106001</w:t>
      </w:r>
    </w:p>
    <w:p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  <w:t>二、招标名称：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山东济钢型材有限公司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2025年铣切锯片总包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采购。</w:t>
      </w:r>
    </w:p>
    <w:p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  <w:t>三、招标内容：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2025年铣切锯片总包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</w:pPr>
    </w:p>
    <w:p>
      <w:pPr>
        <w:spacing w:line="500" w:lineRule="exact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A包：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承包价格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元/吨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（1200线、189线、114线）</w:t>
      </w:r>
    </w:p>
    <w:tbl>
      <w:tblPr>
        <w:tblStyle w:val="4"/>
        <w:tblpPr w:leftFromText="180" w:rightFromText="180" w:vertAnchor="text" w:horzAnchor="page" w:tblpXSpec="center" w:tblpY="168"/>
        <w:tblOverlap w:val="never"/>
        <w:tblW w:w="93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784"/>
        <w:gridCol w:w="1052"/>
        <w:gridCol w:w="1195"/>
        <w:gridCol w:w="680"/>
        <w:gridCol w:w="1419"/>
        <w:gridCol w:w="1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产品名称、型号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投料量单位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承包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单价（元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/吨，含税13%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预估投料量（吨/年）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合同期限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预估总投料量（吨）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总价（元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，含税13%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铣切锯片，355*3.4/2.6*80*64T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吨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9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115000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345000</w:t>
            </w:r>
          </w:p>
        </w:tc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铣切锯片，300*3.4/2.6*80*64T</w:t>
            </w:r>
          </w:p>
        </w:tc>
        <w:tc>
          <w:tcPr>
            <w:tcW w:w="78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铣切锯片，3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5*3.4/2.6*80*64T</w:t>
            </w:r>
          </w:p>
        </w:tc>
        <w:tc>
          <w:tcPr>
            <w:tcW w:w="7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B包：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承包价格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元/吨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76线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726"/>
        <w:gridCol w:w="998"/>
        <w:gridCol w:w="1124"/>
        <w:gridCol w:w="596"/>
        <w:gridCol w:w="1275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产品名称、型号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投料量单位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承包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单价（元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/吨，含税13%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预估投料量（吨/年）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合同期限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预估总投料量（吨）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总价（元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，含税13%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铣切锯片，E450*2.8/2.5*50*130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吨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15000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500" w:lineRule="exact"/>
        <w:jc w:val="left"/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500" w:lineRule="exact"/>
        <w:jc w:val="left"/>
        <w:rPr>
          <w:rFonts w:hint="default" w:ascii="黑体" w:hAnsi="黑体" w:eastAsia="黑体" w:cs="黑体"/>
          <w:b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en-US" w:eastAsia="zh-CN"/>
        </w:rPr>
        <w:t>投标单位可单独投A包或B包，也可以A包、B包一起投标</w:t>
      </w:r>
    </w:p>
    <w:p>
      <w:pPr>
        <w:numPr>
          <w:ilvl w:val="0"/>
          <w:numId w:val="1"/>
        </w:num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  <w:t>资格要求: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1.依法成立，投标人在中华人民共和国境内注册；具备法人资格和一般纳税人资格，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具备铣切锯片生产相应资质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2.具有履行合同必需的专业技术、资质能力；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3.有依法缴纳税收和社会保障金的良好纪录；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4.在经营活动中没有违法记录，需提供在“信用中国”网页查询的投标人企业是否有违法记录情况；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5.不接受联合体投标；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.所有资质文件只接受在招投标系统中注册的电子文档，电子文档格式为JPG，不接受传真和邮寄的书面资料；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.如有单位资料造假，一经发现，立即在网上公示，并永久取消投标资格。</w:t>
      </w:r>
    </w:p>
    <w:p>
      <w:pPr>
        <w:spacing w:line="50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  <w:t>五、公告和报名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1.报名方式：登录www.jigang.com.cn—济钢集团有限公司阳光购销平台或 bidding.jigang.com.cn 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网上报名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)；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使用指南可在网站首页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帮助中心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下载。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2.公告和报名时间：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eastAsia="zh-CN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eastAsia="zh-CN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snapToGrid w:val="0"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3.投标文件名称注名：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《山东济钢型材有限公司2025年铣切锯片总包采购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》。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  <w:t>六、招标文件获取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获取：报名成功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可下载招标文件。</w:t>
      </w:r>
    </w:p>
    <w:p>
      <w:pPr>
        <w:spacing w:line="500" w:lineRule="exact"/>
        <w:ind w:firstLine="643" w:firstLineChars="200"/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zh-CN"/>
        </w:rPr>
        <w:t>七、投标保证金</w:t>
      </w:r>
    </w:p>
    <w:p>
      <w:pPr>
        <w:snapToGrid w:val="0"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1.本次投标保证金为：人民币人民币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元（大写：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贰仟元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整）。报名单位在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前未交纳投标保证金的，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投标将被拒绝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。</w:t>
      </w:r>
    </w:p>
    <w:p>
      <w:pPr>
        <w:snapToGrid w:val="0"/>
        <w:spacing w:line="50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2.请报名单位将投标保证金缴至</w:t>
      </w:r>
      <w:r>
        <w:rPr>
          <w:rFonts w:hint="eastAsia" w:ascii="仿宋_GB2312" w:hAnsi="仿宋_GB2312" w:eastAsia="仿宋_GB2312" w:cs="仿宋_GB2312"/>
          <w:sz w:val="32"/>
          <w:szCs w:val="32"/>
        </w:rPr>
        <w:t>第八条所述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账户，备注</w:t>
      </w:r>
      <w:r>
        <w:rPr>
          <w:rFonts w:hint="eastAsia" w:ascii="仿宋_GB2312" w:hAnsi="仿宋_GB2312" w:eastAsia="仿宋_GB2312" w:cs="仿宋_GB2312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注明山东济钢型材有限公司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电机设备年度维保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项目投标保证金，并将缴款凭证发至</w:t>
      </w:r>
      <w:r>
        <w:rPr>
          <w:rFonts w:hint="eastAsia" w:ascii="仿宋_GB2312" w:hAnsi="仿宋_GB2312" w:eastAsia="仿宋_GB2312" w:cs="仿宋_GB2312"/>
          <w:sz w:val="32"/>
          <w:szCs w:val="32"/>
        </w:rPr>
        <w:t>w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nzh789</w:t>
      </w:r>
      <w:r>
        <w:rPr>
          <w:rFonts w:hint="eastAsia" w:ascii="仿宋_GB2312" w:hAnsi="仿宋_GB2312" w:eastAsia="仿宋_GB2312" w:cs="仿宋_GB2312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126</w:t>
      </w:r>
      <w:r>
        <w:rPr>
          <w:rFonts w:hint="eastAsia" w:ascii="仿宋_GB2312" w:hAnsi="仿宋_GB2312" w:eastAsia="仿宋_GB2312" w:cs="仿宋_GB2312"/>
          <w:sz w:val="32"/>
          <w:szCs w:val="32"/>
        </w:rPr>
        <w:t>.com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邮箱，投标保证金在具备退还条件后原帐户退还。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zh-CN"/>
        </w:rPr>
        <w:t>八、招标人账户</w:t>
      </w:r>
    </w:p>
    <w:p>
      <w:pPr>
        <w:snapToGrid w:val="0"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账户：山东济钢型材有限公司</w:t>
      </w:r>
    </w:p>
    <w:p>
      <w:pPr>
        <w:snapToGrid w:val="0"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开户行：中国建设银行股份有限公司济南济钢支行</w:t>
      </w:r>
    </w:p>
    <w:p>
      <w:pPr>
        <w:snapToGrid w:val="0"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账号：37050161667400000199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zh-CN"/>
        </w:rPr>
        <w:t>九、投标文件提交</w:t>
      </w:r>
    </w:p>
    <w:p>
      <w:pPr>
        <w:snapToGrid w:val="0"/>
        <w:spacing w:line="500" w:lineRule="exact"/>
        <w:ind w:left="298" w:leftChars="142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1.投标文件提交的截止时间（投标截止时间，下同）为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eastAsia="zh-CN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 xml:space="preserve">9：30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。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2.开标时间：同投标截止时间。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3.投标方式：网上投标，谢绝现场投标。</w:t>
      </w:r>
    </w:p>
    <w:p>
      <w:pPr>
        <w:snapToGrid w:val="0"/>
        <w:spacing w:line="50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</w:rPr>
        <w:t>4.按投标文件第六章、第七章格式制作投标文件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zh-CN"/>
        </w:rPr>
        <w:t>十、联系方式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1.招标联系人：王先生，联系电话：0531-88842121。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</w:rPr>
        <w:t>邮箱：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highlight w:val="none"/>
          <w:lang w:val="en-US" w:eastAsia="zh-CN"/>
        </w:rPr>
        <w:instrText xml:space="preserve"> HYPERLINK "mailto:wnzh789@126.com" </w:instrTex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7"/>
          <w:rFonts w:hint="eastAsia" w:ascii="仿宋_GB2312" w:hAnsi="宋体" w:eastAsia="仿宋_GB2312" w:cs="仿宋_GB2312"/>
          <w:color w:val="000000"/>
          <w:sz w:val="32"/>
          <w:szCs w:val="32"/>
          <w:highlight w:val="none"/>
          <w:lang w:val="en-US" w:eastAsia="zh-CN"/>
        </w:rPr>
        <w:t>wnzh789</w:t>
      </w:r>
      <w:r>
        <w:rPr>
          <w:rStyle w:val="7"/>
          <w:rFonts w:hint="eastAsia" w:ascii="仿宋_GB2312" w:hAnsi="宋体" w:eastAsia="仿宋_GB2312" w:cs="仿宋_GB2312"/>
          <w:color w:val="000000"/>
          <w:sz w:val="32"/>
          <w:szCs w:val="32"/>
          <w:highlight w:val="none"/>
        </w:rPr>
        <w:t>@</w:t>
      </w:r>
      <w:r>
        <w:rPr>
          <w:rStyle w:val="7"/>
          <w:rFonts w:hint="eastAsia" w:ascii="仿宋_GB2312" w:hAnsi="宋体" w:eastAsia="仿宋_GB2312" w:cs="仿宋_GB2312"/>
          <w:color w:val="000000"/>
          <w:sz w:val="32"/>
          <w:szCs w:val="32"/>
          <w:highlight w:val="none"/>
          <w:lang w:val="en-US" w:eastAsia="zh-CN"/>
        </w:rPr>
        <w:t>126</w:t>
      </w:r>
      <w:r>
        <w:rPr>
          <w:rStyle w:val="7"/>
          <w:rFonts w:hint="eastAsia" w:ascii="仿宋_GB2312" w:hAnsi="宋体" w:eastAsia="仿宋_GB2312" w:cs="仿宋_GB2312"/>
          <w:color w:val="000000"/>
          <w:sz w:val="32"/>
          <w:szCs w:val="32"/>
          <w:highlight w:val="none"/>
        </w:rPr>
        <w:t>.com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highlight w:val="none"/>
          <w:lang w:val="en-US" w:eastAsia="zh-CN"/>
        </w:rPr>
        <w:fldChar w:fldCharType="end"/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2.技术咨询人：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先生，联系电话：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0531-88842085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snapToGrid w:val="0"/>
        <w:spacing w:line="50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zh-CN"/>
        </w:rPr>
        <w:t>十一、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公告中的招标内容和招标其他要求以最终的招标文件为准。</w:t>
      </w:r>
    </w:p>
    <w:p>
      <w:pPr>
        <w:spacing w:line="500" w:lineRule="exact"/>
        <w:jc w:val="center"/>
        <w:rPr>
          <w:rFonts w:hint="eastAsia" w:ascii="仿宋_GB2312" w:hAnsi="黑体" w:eastAsia="仿宋_GB2312"/>
          <w:b/>
          <w:color w:val="000000"/>
          <w:sz w:val="32"/>
          <w:szCs w:val="32"/>
          <w:highlight w:val="none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山东济钢型材有限公司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2025.11.6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C03D9"/>
    <w:multiLevelType w:val="singleLevel"/>
    <w:tmpl w:val="BBFC03D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26056"/>
    <w:rsid w:val="4C92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99"/>
    <w:rPr>
      <w:rFonts w:hint="eastAsia" w:ascii="宋体" w:hAnsi="宋体" w:eastAsia="宋体" w:cs="宋体"/>
      <w:color w:val="0000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2025-11-06T01:32:00Z</dcterms:created>
  <dc:creator>王乃征</dc:creator>
  <cp:lastModifiedBy>王乃征</cp:lastModifiedBy>
  <dcterms:modified xsi:type="dcterms:W3CDTF">2025-11-06T01:34:04Z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67D9F71EC6F147A6807CF7974F72B5ED</vt:lpwstr>
  </property>
</Properties>
</file>